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70"/>
        <w:gridCol w:w="2570"/>
        <w:gridCol w:w="10"/>
        <w:gridCol w:w="1590"/>
        <w:gridCol w:w="1780"/>
        <w:gridCol w:w="2800"/>
        <w:gridCol w:w="2620"/>
      </w:tblGrid>
      <w:tr w:rsidR="000B3D2F" w:rsidRPr="000B3D2F"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0"/>
              <w:gridCol w:w="3040"/>
              <w:gridCol w:w="1600"/>
              <w:gridCol w:w="1780"/>
            </w:tblGrid>
            <w:tr w:rsidR="000B3D2F" w:rsidRPr="000B3D2F">
              <w:tc>
                <w:tcPr>
                  <w:tcW w:w="7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3D2F" w:rsidRPr="000B3D2F">
              <w:tc>
                <w:tcPr>
                  <w:tcW w:w="7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B3D2F" w:rsidRPr="000B3D2F" w:rsidRDefault="000B3D2F" w:rsidP="000B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Załącznik nr 3 do Uchwały Rady Gminy Skarbimierz                Nr XXV/170/2013  z dnia 18 marca 2013r.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1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D2F">
              <w:rPr>
                <w:b/>
                <w:bCs/>
                <w:color w:val="000000"/>
                <w:sz w:val="28"/>
                <w:szCs w:val="28"/>
              </w:rPr>
              <w:t>Objaśnienia przyjętych wartości do Wieloletniej Prognozy Finansowej Gminy Skarbimierz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Wskaźniki makroekonomiczne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2015 - 2020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2021 - 2027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D2F">
              <w:rPr>
                <w:rFonts w:ascii="Arial" w:hAnsi="Arial" w:cs="Arial"/>
                <w:color w:val="000000"/>
                <w:sz w:val="18"/>
                <w:szCs w:val="18"/>
              </w:rPr>
              <w:t>wzrost PKB w ujęciu realnym w %</w:t>
            </w:r>
          </w:p>
        </w:tc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D2F">
              <w:rPr>
                <w:rFonts w:ascii="Arial" w:hAnsi="Arial" w:cs="Arial"/>
                <w:color w:val="000000"/>
                <w:sz w:val="18"/>
                <w:szCs w:val="18"/>
              </w:rPr>
              <w:t>średnioroczny wzrost cen towarów i usług konsumpcyjnych ogółem w %</w:t>
            </w:r>
          </w:p>
        </w:tc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Dochody: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Wzrost dochodów bieżących założono zgodnie z prognozą makroekonomiczną (dane Ministra Finansów, GUS: 2014-104,0  2015 do 2020-103,4 2021 do 2027-103,0 Jako rok bazowy przyjęto rok 2013 oraz kwota długu na koniec roku 2012. Dane dla roku 2013 przyjęto takie jak w uchwale w sprawie uchwalenia budżetu oraz uwzględniono zmiany jak w projekcie zmiany budżetu na dzień 18 marca 2013r.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dochody majątkowe</w:t>
            </w:r>
          </w:p>
        </w:tc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Dochody majątkowe na rok 2013 stanowią dochody ze sprzedaży ratalnej majątku oraz na podstawie zawartych umów przedwstępnych i rozmów prowadzonych z inwestorami. Na lata 2014 - 2018 przyjęto dochody z tytułu sprzedaży działek na cele inwestycyjne na podstawie danych uzyskanych z referatu inwestycyjnego.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 xml:space="preserve">Wydatki bieżące 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800"/>
            </w:tblGrid>
            <w:tr w:rsidR="000B3D2F" w:rsidRPr="000B3D2F">
              <w:tc>
                <w:tcPr>
                  <w:tcW w:w="88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Wzrost wydatków bieżących założono zgodnie z prognozą makroekonomiczną (dane Ministra Finansów: lata 2014-2020 - 102,5%, lata 2021-2027 - 102,3%). Jako rok bazowy przyjęto rok 2013. Dane dla roku 2013 przyjęto jak w uchwale w sprawie uchwalenia budżetu oraz  uwzględniono zmiany jak w projekcie  budżetu na dzień 18 marca 2013r.  Wydatki bieżące sanowią: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right w:val="single" w:sz="8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1. wydatki z tytułu poręczeń i gwarancji,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right w:val="single" w:sz="8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2. wydatki na obsługę długu,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right w:val="single" w:sz="8" w:space="0" w:color="auto"/>
                  </w:tcBorders>
                  <w:vAlign w:val="center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3.przedsięwzięcia z art. 226 ust.4 ustawy o finansach publicznych, w tym na przedsięwzięcia (projekty, programy i zadania wieloletnie).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B3D2F" w:rsidRPr="000B3D2F" w:rsidRDefault="000B3D2F" w:rsidP="000B3D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 xml:space="preserve">Wynik budżetu po wykonaniu wydatków bieżących 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Dochody (bieżące i majątkowe) skorygowane o wydatki bieżące.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Nadwyżka budżetowa z lat ubiegłych plus wolne środki, zgodnie z art. 217 ustawy o finansach publicznych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Na rok 2013 zaplanowano wolne środki z roku 2012 w kwocie 489 636 zł.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Inne przychody niezwiązane z zaciągnięciem długu, w tym: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Innych przychodów nie związanych z zaciągnięciem długu gmina nie posiadała i też nie zaplanowała.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Środki do dyspozycji na spłatę i obsługę długu oraz wydatki majątkowe (III + IV + V)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Po oszacowaniu dochodów ogółem, oraz wydatków bieżących , po uwzględnieniu wolnych środków z lat ubiegłych otrzymano środki do dyspozycji na obsługę długu i wydatki majątkowe.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Spłata i obsługa długu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Spłatę i obsługę długu (w podziale na rozchody tytułu spłaty oraz wydatki bieżące) zaplanowano na podstawie harmonogramów spłat zaciągniętych kredytów, pożyczek, wykup papierów wartościowych. Spłata długu obejmuje lata 2013 - 2027. Obsługa długu obejmuje lata 2013 -2022.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Inne rozchody (bez spłaty długu), w tym: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Nie zaplanowano innych rozchodów nie związanych ze spłatą długu.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Środki do dyzpozycji na wydatki majątkowe (VI - VII -VIII)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Po rozdysponowaniu środków na spłatę i obsługę długu otrzymano pulę środków na wydatki majątkowe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Po rozdysponowaniu środków na spłatę i obsługę długu otrzymano pulę środków na wydatki majątkowe i w tej wysokości zostały zaplanowane w latach następnych.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Przychody (kredyty, pożyczki, emisje papierów wartościowych)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Zaplanowano przychody na pokrycie deficytu na rok 2013 w wysokości 2 500 0000 zł w formie kredytu bankowego.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Wynik finansowy budżetu (IX-X+XI)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 xml:space="preserve">Zgodnie z Metodyką Ministra Finansów - jest to pomocnicza kategoria zaproponowana w WPF, pozwalająca ocenić, czy Gmina w każdym roku budżetowym posiada w budżecie środki finansowe, </w:t>
            </w:r>
            <w:r w:rsidRPr="000B3D2F">
              <w:rPr>
                <w:color w:val="000000"/>
                <w:sz w:val="20"/>
                <w:szCs w:val="20"/>
              </w:rPr>
              <w:lastRenderedPageBreak/>
              <w:t>pochodzące z dochodów i przychodów, pozwalające na realizację wydatków i rozchodów.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40"/>
            </w:tblGrid>
            <w:tr w:rsidR="000B3D2F" w:rsidRPr="000B3D2F">
              <w:tc>
                <w:tcPr>
                  <w:tcW w:w="3040" w:type="dxa"/>
                  <w:tcBorders>
                    <w:top w:val="single" w:sz="8" w:space="0" w:color="auto"/>
                    <w:right w:val="single" w:sz="4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KWOTA DŁUGU, WSKAŹNIKI</w:t>
                  </w:r>
                </w:p>
              </w:tc>
            </w:tr>
            <w:tr w:rsidR="000B3D2F" w:rsidRPr="000B3D2F">
              <w:tc>
                <w:tcPr>
                  <w:tcW w:w="3040" w:type="dxa"/>
                  <w:tcBorders>
                    <w:right w:val="single" w:sz="4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B3D2F" w:rsidRPr="000B3D2F" w:rsidRDefault="000B3D2F" w:rsidP="000B3D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Kwota długu, sposób jego sfinansowania i relacja o której mowa w art. 243 ustawy o finansach publicznych. Kwota wykazana jako dług na koniec każdego roku jest wynikiem działania: dług z poprzedniego roku + zaciągany dług - spłata długu.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Sposób finansowania długu - przyjmuje się, że dług (jego spłata) jest finansowana w pierwszej kolejności z nadwyżki budżetowej, wolnych środków oraz nadwyżki z lat poprzednich. W następnej kolejności dług finansuje się nowo zaciąganym długiem.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Zgodnie z art. 121 ust. 8 ustawy z dnia 27 sierpnia 2009 r.   Przepisy wprowadzające ustawę o finansach publicznych (Dz. U. Nr 157, póz. 1241) na lata 2011-2013 objęte wieloletnią prognozą finansową zamiast zasad, o których mowa w przepisach art. 226 ust. 1 pkt. 6 i art. 230 ust. 5 ustawy, o której mowa w art. 1, mają zastosowanie zasady określone w art. 169-171 ustawy, o której mowa w art. 85.- tj progi 15 % i 60 %. Wskaźniki wyliczone w Wieloletniej Prognozie Finansowej Gminy Skarbimierz zachowują zgodność zarówno z art.169 i art.170 ustawy o finansach publicznych z 2005 roku jak i z art. 243 nowej ustawy o finansach publicznych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D2F" w:rsidRPr="000B3D2F" w:rsidRDefault="000B3D2F" w:rsidP="000B3D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F420B1" w:rsidRDefault="00F420B1"/>
    <w:sectPr w:rsidR="00F420B1" w:rsidSect="006F3196">
      <w:pgSz w:w="158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defaultTabStop w:val="708"/>
  <w:hyphenationZone w:val="425"/>
  <w:characterSpacingControl w:val="doNotCompress"/>
  <w:compat/>
  <w:rsids>
    <w:rsidRoot w:val="000B3D2F"/>
    <w:rsid w:val="000B3D2F"/>
    <w:rsid w:val="004408C5"/>
    <w:rsid w:val="00825953"/>
    <w:rsid w:val="00D7740C"/>
    <w:rsid w:val="00F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4219</Characters>
  <Application>Microsoft Office Word</Application>
  <DocSecurity>0</DocSecurity>
  <Lines>35</Lines>
  <Paragraphs>9</Paragraphs>
  <ScaleCrop>false</ScaleCrop>
  <Company>UG Skarbimierz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2</cp:revision>
  <dcterms:created xsi:type="dcterms:W3CDTF">2013-03-22T08:44:00Z</dcterms:created>
  <dcterms:modified xsi:type="dcterms:W3CDTF">2013-03-22T08:44:00Z</dcterms:modified>
</cp:coreProperties>
</file>